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1"/>
        <w:ind w:left="6021" w:right="0" w:firstLine="0"/>
        <w:jc w:val="left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"2009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z w:val="16"/>
        </w:rPr>
        <w:t>Año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de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la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Inclusión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Social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y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z w:val="16"/>
        </w:rPr>
        <w:t>el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Desarrollo</w:t>
      </w:r>
      <w:r>
        <w:rPr>
          <w:rFonts w:ascii="Garamond" w:hAnsi="Garamond"/>
          <w:spacing w:val="-2"/>
          <w:sz w:val="16"/>
        </w:rPr>
        <w:t> Humano"</w:t>
      </w:r>
    </w:p>
    <w:p>
      <w:pPr>
        <w:pStyle w:val="BodyText"/>
        <w:ind w:left="0"/>
        <w:rPr>
          <w:rFonts w:ascii="Garamond"/>
          <w:sz w:val="16"/>
        </w:rPr>
      </w:pPr>
    </w:p>
    <w:p>
      <w:pPr>
        <w:pStyle w:val="BodyText"/>
        <w:spacing w:before="93"/>
        <w:ind w:left="0"/>
        <w:rPr>
          <w:rFonts w:ascii="Garamond"/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6453</w:t>
      </w:r>
    </w:p>
    <w:p>
      <w:pPr>
        <w:pStyle w:val="BodyText"/>
        <w:spacing w:before="298"/>
        <w:ind w:right="104"/>
        <w:jc w:val="both"/>
      </w:pPr>
      <w:r>
        <w:rPr/>
        <w:t>ARTÍCULO 1°: Declárase de utilidad pública e interés social y sujeto a expropiación, el inmueble ubicado en Colonia El Guanaco, Departamento 25 de Mayo, cuyos datos identificatorios se detallan a continuación:</w:t>
      </w:r>
    </w:p>
    <w:p>
      <w:pPr>
        <w:pStyle w:val="BodyText"/>
        <w:spacing w:line="268" w:lineRule="auto" w:before="1"/>
        <w:ind w:left="1953" w:firstLine="2"/>
      </w:pPr>
      <w:r>
        <w:rPr/>
        <w:t>NOMENCLATURA</w:t>
      </w:r>
      <w:r>
        <w:rPr>
          <w:spacing w:val="-7"/>
        </w:rPr>
        <w:t> </w:t>
      </w:r>
      <w:r>
        <w:rPr/>
        <w:t>CATASTRAL:</w:t>
      </w:r>
      <w:r>
        <w:rPr>
          <w:spacing w:val="-7"/>
        </w:rPr>
        <w:t> </w:t>
      </w:r>
      <w:r>
        <w:rPr/>
        <w:t>Circunscripción</w:t>
      </w:r>
      <w:r>
        <w:rPr>
          <w:spacing w:val="-7"/>
        </w:rPr>
        <w:t> </w:t>
      </w:r>
      <w:r>
        <w:rPr/>
        <w:t>VIII</w:t>
      </w:r>
      <w:r>
        <w:rPr>
          <w:spacing w:val="-5"/>
        </w:rPr>
        <w:t> </w:t>
      </w:r>
      <w:r>
        <w:rPr/>
        <w:t>-</w:t>
      </w:r>
      <w:r>
        <w:rPr>
          <w:spacing w:val="-7"/>
        </w:rPr>
        <w:t> </w:t>
      </w:r>
      <w:r>
        <w:rPr/>
        <w:t>Parcela</w:t>
      </w:r>
      <w:r>
        <w:rPr>
          <w:spacing w:val="-5"/>
        </w:rPr>
        <w:t> </w:t>
      </w:r>
      <w:r>
        <w:rPr/>
        <w:t>60. PLANO DE MENSURA N° 24-22-88.</w:t>
      </w:r>
    </w:p>
    <w:p>
      <w:pPr>
        <w:pStyle w:val="BodyText"/>
        <w:spacing w:line="263" w:lineRule="exact"/>
        <w:ind w:left="1955"/>
      </w:pPr>
      <w:r>
        <w:rPr/>
        <w:t>PROPIETARIO:</w:t>
      </w:r>
      <w:r>
        <w:rPr>
          <w:spacing w:val="78"/>
        </w:rPr>
        <w:t> </w:t>
      </w:r>
      <w:r>
        <w:rPr/>
        <w:t>HORVICEN</w:t>
      </w:r>
      <w:r>
        <w:rPr>
          <w:spacing w:val="79"/>
        </w:rPr>
        <w:t> </w:t>
      </w:r>
      <w:r>
        <w:rPr/>
        <w:t>Sociedad</w:t>
      </w:r>
      <w:r>
        <w:rPr>
          <w:spacing w:val="77"/>
        </w:rPr>
        <w:t> </w:t>
      </w:r>
      <w:r>
        <w:rPr/>
        <w:t>de</w:t>
      </w:r>
      <w:r>
        <w:rPr>
          <w:spacing w:val="77"/>
        </w:rPr>
        <w:t> </w:t>
      </w:r>
      <w:r>
        <w:rPr/>
        <w:t>Responsabilidad</w:t>
      </w:r>
      <w:r>
        <w:rPr>
          <w:spacing w:val="79"/>
        </w:rPr>
        <w:t> </w:t>
      </w:r>
      <w:r>
        <w:rPr>
          <w:spacing w:val="-2"/>
        </w:rPr>
        <w:t>Limitada.</w:t>
      </w:r>
    </w:p>
    <w:p>
      <w:pPr>
        <w:pStyle w:val="BodyText"/>
        <w:spacing w:before="1"/>
        <w:ind w:left="1955" w:right="125"/>
      </w:pPr>
      <w:r>
        <w:rPr/>
        <w:t>SUPERFICIE: aproximada y sujeta a mensura de 918 has. 72 as., 50 cas., 14 dm2.</w:t>
      </w:r>
    </w:p>
    <w:p>
      <w:pPr>
        <w:pStyle w:val="BodyText"/>
        <w:ind w:left="1955"/>
      </w:pPr>
      <w:r>
        <w:rPr/>
        <w:t>INSCRIPCIÓN:</w:t>
      </w:r>
      <w:r>
        <w:rPr>
          <w:spacing w:val="80"/>
        </w:rPr>
        <w:t> </w:t>
      </w:r>
      <w:r>
        <w:rPr/>
        <w:t>Folio</w:t>
      </w:r>
      <w:r>
        <w:rPr>
          <w:spacing w:val="80"/>
        </w:rPr>
        <w:t> </w:t>
      </w:r>
      <w:r>
        <w:rPr/>
        <w:t>Real</w:t>
      </w:r>
      <w:r>
        <w:rPr>
          <w:spacing w:val="80"/>
        </w:rPr>
        <w:t> </w:t>
      </w:r>
      <w:r>
        <w:rPr/>
        <w:t>Matrícula</w:t>
      </w:r>
      <w:r>
        <w:rPr>
          <w:spacing w:val="80"/>
        </w:rPr>
        <w:t> </w:t>
      </w:r>
      <w:r>
        <w:rPr/>
        <w:t>N°</w:t>
      </w:r>
      <w:r>
        <w:rPr>
          <w:spacing w:val="80"/>
        </w:rPr>
        <w:t> </w:t>
      </w:r>
      <w:r>
        <w:rPr/>
        <w:t>2801-Departamento</w:t>
      </w:r>
      <w:r>
        <w:rPr>
          <w:spacing w:val="80"/>
        </w:rPr>
        <w:t> </w:t>
      </w:r>
      <w:r>
        <w:rPr/>
        <w:t>25</w:t>
      </w:r>
      <w:r>
        <w:rPr>
          <w:spacing w:val="80"/>
        </w:rPr>
        <w:t> </w:t>
      </w:r>
      <w:r>
        <w:rPr/>
        <w:t>de </w:t>
      </w:r>
      <w:r>
        <w:rPr>
          <w:spacing w:val="-2"/>
        </w:rPr>
        <w:t>Mayo.</w:t>
      </w:r>
    </w:p>
    <w:p>
      <w:pPr>
        <w:pStyle w:val="BodyText"/>
        <w:spacing w:before="296"/>
        <w:ind w:right="104"/>
        <w:jc w:val="both"/>
      </w:pPr>
      <w:r>
        <w:rPr/>
        <w:t>ARTÍCULO 2°: El inmueble expropiado previa mensura y subdivisión de las parcelas a través del Instituto de Colonización, serán adjudicadas en ventas a sus actuales ocupantes cuyo destino será el desarrollo de actividades primarias. Al fijarse el valor de los lotes deberá tenerse en cuenta la situación socio- económica de los pequeños productores, de conformidad con el objetivo social de la presente ley.</w:t>
      </w:r>
    </w:p>
    <w:p>
      <w:pPr>
        <w:pStyle w:val="BodyText"/>
        <w:spacing w:before="289"/>
        <w:ind w:right="104"/>
        <w:jc w:val="both"/>
      </w:pPr>
      <w:r>
        <w:rPr/>
        <w:t>ARTÍCULO 3°: El cambio de destino establecido en el artículo precedente, dejará sin efectos las disposiciones precedentes, debiendo el Estado Provincial tomar posesión en forma inmediata del inmueble.</w:t>
      </w:r>
    </w:p>
    <w:p>
      <w:pPr>
        <w:pStyle w:val="BodyText"/>
        <w:spacing w:before="25"/>
        <w:ind w:left="0"/>
      </w:pPr>
    </w:p>
    <w:p>
      <w:pPr>
        <w:pStyle w:val="BodyText"/>
        <w:ind w:right="107"/>
        <w:jc w:val="both"/>
      </w:pPr>
      <w:r>
        <w:rPr/>
        <w:t>ARTÍCULO 4°: No podrán acceder al beneficio de esta ley, las personas que sean propietarias de inmuebles en la Provincia.</w:t>
      </w:r>
    </w:p>
    <w:p>
      <w:pPr>
        <w:pStyle w:val="BodyText"/>
        <w:spacing w:before="288"/>
        <w:ind w:right="105"/>
        <w:jc w:val="both"/>
      </w:pPr>
      <w:r>
        <w:rPr/>
        <w:t>ARTÍCULO 5°: Facúltase al Poder Ejecutivo a tramitar la correspondiente escritura traslativa de dominio a favor de los adjudicatarios y</w:t>
      </w:r>
      <w:r>
        <w:rPr>
          <w:spacing w:val="-1"/>
        </w:rPr>
        <w:t> </w:t>
      </w:r>
      <w:r>
        <w:rPr/>
        <w:t>su pertinente inscripción en carácter de Bien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Familia,</w:t>
      </w:r>
      <w:r>
        <w:rPr>
          <w:spacing w:val="-2"/>
        </w:rPr>
        <w:t> </w:t>
      </w:r>
      <w:r>
        <w:rPr/>
        <w:t>debiendo</w:t>
      </w:r>
      <w:r>
        <w:rPr>
          <w:spacing w:val="-2"/>
        </w:rPr>
        <w:t> </w:t>
      </w:r>
      <w:r>
        <w:rPr/>
        <w:t>establecerse y</w:t>
      </w:r>
      <w:r>
        <w:rPr>
          <w:spacing w:val="-8"/>
        </w:rPr>
        <w:t> </w:t>
      </w:r>
      <w:r>
        <w:rPr/>
        <w:t>anotarse</w:t>
      </w:r>
      <w:r>
        <w:rPr>
          <w:spacing w:val="-2"/>
        </w:rPr>
        <w:t> </w:t>
      </w:r>
      <w:r>
        <w:rPr/>
        <w:t>ante</w:t>
      </w:r>
      <w:r>
        <w:rPr>
          <w:spacing w:val="-2"/>
        </w:rPr>
        <w:t> </w:t>
      </w:r>
      <w:r>
        <w:rPr/>
        <w:t>el</w:t>
      </w:r>
      <w:r>
        <w:rPr>
          <w:spacing w:val="-2"/>
        </w:rPr>
        <w:t> </w:t>
      </w:r>
      <w:r>
        <w:rPr/>
        <w:t>Registro</w:t>
      </w:r>
      <w:r>
        <w:rPr>
          <w:spacing w:val="-2"/>
        </w:rPr>
        <w:t> </w:t>
      </w:r>
      <w:r>
        <w:rPr/>
        <w:t>de la</w:t>
      </w:r>
      <w:r>
        <w:rPr>
          <w:spacing w:val="-2"/>
        </w:rPr>
        <w:t> </w:t>
      </w:r>
      <w:r>
        <w:rPr/>
        <w:t>Propiedad</w:t>
      </w:r>
      <w:r>
        <w:rPr>
          <w:spacing w:val="-2"/>
        </w:rPr>
        <w:t> </w:t>
      </w:r>
      <w:r>
        <w:rPr/>
        <w:t>Inmueble la prohibición de transferir el dominio del inmueble por el término de (10) años.</w:t>
      </w:r>
    </w:p>
    <w:p>
      <w:pPr>
        <w:pStyle w:val="BodyText"/>
        <w:spacing w:line="228" w:lineRule="auto" w:before="285"/>
        <w:ind w:right="105"/>
        <w:jc w:val="both"/>
      </w:pPr>
      <w:r>
        <w:rPr/>
        <w:t>ARTÍCULO 6°: El Poder Ejecutivo Provincial deberá articular un programa de asistencia y promoción para los pequeños productores adjudicatarios de tierras tendientes a garantizar su subsistencia y permanencia en el predio expropiado permanencia en el predio expropiado.</w:t>
      </w:r>
    </w:p>
    <w:p>
      <w:pPr>
        <w:pStyle w:val="BodyText"/>
        <w:spacing w:before="295"/>
        <w:ind w:right="107"/>
        <w:jc w:val="both"/>
      </w:pPr>
      <w:r>
        <w:rPr/>
        <w:t>ARTÍCULO 7º: Las erogaciones que demande el cumplimiento de la presente ley, serán imputadas a la partida específica del presupuesto General de la Provincia.</w:t>
      </w:r>
    </w:p>
    <w:p>
      <w:pPr>
        <w:pStyle w:val="BodyText"/>
        <w:spacing w:before="297"/>
        <w:jc w:val="both"/>
      </w:pPr>
      <w:r>
        <w:rPr/>
        <w:t>ARTÍCULO</w:t>
      </w:r>
      <w:r>
        <w:rPr>
          <w:spacing w:val="-8"/>
        </w:rPr>
        <w:t> </w:t>
      </w:r>
      <w:r>
        <w:rPr/>
        <w:t>8°: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"/>
        <w:ind w:left="0"/>
      </w:pPr>
    </w:p>
    <w:p>
      <w:pPr>
        <w:pStyle w:val="BodyText"/>
        <w:ind w:left="4932" w:right="109"/>
        <w:jc w:val="both"/>
      </w:pPr>
      <w:r>
        <w:rPr/>
        <w:t>Dada en la Sala de Sesiones de la Cámara de Diputados de la Provincia del Chaco, a los veinticinco</w:t>
      </w:r>
      <w:r>
        <w:rPr>
          <w:spacing w:val="-5"/>
        </w:rPr>
        <w:t> </w:t>
      </w:r>
      <w:r>
        <w:rPr/>
        <w:t>días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mes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noviembre</w:t>
      </w:r>
      <w:r>
        <w:rPr>
          <w:spacing w:val="-5"/>
        </w:rPr>
        <w:t> </w:t>
      </w:r>
      <w:r>
        <w:rPr/>
        <w:t>del</w:t>
      </w:r>
      <w:r>
        <w:rPr>
          <w:spacing w:val="-7"/>
        </w:rPr>
        <w:t> </w:t>
      </w:r>
      <w:r>
        <w:rPr/>
        <w:t>año dos mil nueve.</w:t>
      </w:r>
    </w:p>
    <w:p>
      <w:pPr>
        <w:spacing w:after="0"/>
        <w:jc w:val="both"/>
        <w:sectPr>
          <w:type w:val="continuous"/>
          <w:pgSz w:w="11900" w:h="16840"/>
          <w:pgMar w:top="780" w:bottom="280" w:left="1020" w:right="1020"/>
        </w:sectPr>
      </w:pPr>
    </w:p>
    <w:p>
      <w:pPr>
        <w:pStyle w:val="BodyText"/>
        <w:tabs>
          <w:tab w:pos="6657" w:val="left" w:leader="none"/>
          <w:tab w:pos="6981" w:val="left" w:leader="none"/>
        </w:tabs>
        <w:spacing w:before="64"/>
        <w:ind w:left="832" w:right="125" w:hanging="267"/>
      </w:pPr>
      <w:r>
        <w:rPr/>
        <w:t>Pablo L.D. BOSCH</w:t>
        <w:tab/>
        <w:t>Víctor</w:t>
      </w:r>
      <w:r>
        <w:rPr>
          <w:spacing w:val="-17"/>
        </w:rPr>
        <w:t> </w:t>
      </w:r>
      <w:r>
        <w:rPr/>
        <w:t>Hugo</w:t>
      </w:r>
      <w:r>
        <w:rPr>
          <w:spacing w:val="-16"/>
        </w:rPr>
        <w:t> </w:t>
      </w:r>
      <w:r>
        <w:rPr/>
        <w:t>MALDONADO </w:t>
      </w:r>
      <w:r>
        <w:rPr>
          <w:spacing w:val="-2"/>
        </w:rPr>
        <w:t>SECRETARIO</w:t>
      </w:r>
      <w:r>
        <w:rPr/>
        <w:tab/>
        <w:tab/>
        <w:t>VICEPRESIDENTE 1º</w:t>
      </w:r>
    </w:p>
    <w:p>
      <w:pPr>
        <w:pStyle w:val="BodyText"/>
        <w:tabs>
          <w:tab w:pos="6650" w:val="left" w:leader="none"/>
        </w:tabs>
        <w:spacing w:line="299" w:lineRule="exact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2"/>
        </w:rPr>
        <w:t>DIPUTADOS</w:t>
      </w:r>
    </w:p>
    <w:sectPr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aramond">
    <w:altName w:val="Garamon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8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\376\377\000P\000C</dc:creator>
  <cp:keywords>()</cp:keywords>
  <dc:title>\376\377\000L\000e\000y\000 \0006\0004\0005\0003</dc:title>
  <dcterms:created xsi:type="dcterms:W3CDTF">2025-02-06T12:42:09Z</dcterms:created>
  <dcterms:modified xsi:type="dcterms:W3CDTF">2025-02-06T12:42:09Z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2010-02-24T00:00:00Z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